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0"/>
        <w:jc w:val="right"/>
        <w:spacing w:after="700" w:line="244" w:lineRule="auto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sz w:val="26"/>
          <w:szCs w:val="26"/>
          <w:highlight w:val="none"/>
        </w:rPr>
        <w:t xml:space="preserve">Приложение №9 к Документации о закупке</w:t>
      </w:r>
      <w:r>
        <w:rPr>
          <w:rFonts w:ascii="Times New Roman" w:hAnsi="Times New Roman" w:eastAsia="Times New Roman" w:cs="Times New Roman"/>
          <w:b/>
          <w:highlight w:val="none"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ind w:left="40"/>
        <w:jc w:val="center"/>
        <w:spacing w:after="700" w:line="244" w:lineRule="auto"/>
        <w:rPr>
          <w:rFonts w:ascii="Times New Roman" w:hAnsi="Times New Roman" w:eastAsia="Times New Roman" w:cs="Times New Roman"/>
          <w:b/>
          <w:bCs/>
          <w:highlight w:val="none"/>
        </w:rPr>
      </w:pPr>
      <w:r>
        <w:rPr>
          <w:rFonts w:ascii="Times New Roman" w:hAnsi="Times New Roman" w:eastAsia="Times New Roman" w:cs="Times New Roman"/>
          <w:b/>
        </w:rPr>
        <w:t xml:space="preserve">ФОРМА ОБОСНОВАНИЯ НМЦ</w:t>
      </w:r>
      <w:r>
        <w:rPr>
          <w:rFonts w:ascii="Times New Roman" w:hAnsi="Times New Roman" w:eastAsia="Times New Roman" w:cs="Times New Roman"/>
          <w:b/>
          <w:bCs/>
          <w:highlight w:val="none"/>
        </w:rPr>
      </w:r>
      <w:r>
        <w:rPr>
          <w:rFonts w:ascii="Times New Roman" w:hAnsi="Times New Roman" w:eastAsia="Times New Roman" w:cs="Times New Roman"/>
          <w:b/>
          <w:bCs/>
          <w:highlight w:val="none"/>
        </w:rPr>
      </w:r>
    </w:p>
    <w:p>
      <w:pPr>
        <w:ind w:left="40"/>
        <w:jc w:val="center"/>
        <w:spacing w:after="642" w:line="288" w:lineRule="auto"/>
        <w:rPr>
          <w:rFonts w:ascii="Times New Roman" w:hAnsi="Times New Roman" w:eastAsia="Times New Roman" w:cs="Times New Roman"/>
          <w:b/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</w:rPr>
      </w:r>
      <w:r>
        <w:rPr>
          <w:rFonts w:ascii="Times New Roman" w:hAnsi="Times New Roman" w:eastAsia="Times New Roman" w:cs="Times New Roman"/>
          <w:b/>
          <w:color w:val="000000"/>
        </w:rPr>
      </w:r>
    </w:p>
    <w:p>
      <w:pPr>
        <w:spacing w:after="0" w:line="288" w:lineRule="auto"/>
        <w:rPr>
          <w:rFonts w:ascii="Times New Roman" w:hAnsi="Times New Roman" w:eastAsia="Times New Roman" w:cs="Times New Roman"/>
          <w:b/>
          <w:sz w:val="26"/>
        </w:rPr>
      </w:pPr>
      <w:r>
        <w:rPr>
          <w:rFonts w:ascii="Times New Roman" w:hAnsi="Times New Roman" w:eastAsia="Times New Roman" w:cs="Times New Roman"/>
          <w:b/>
          <w:sz w:val="26"/>
        </w:rPr>
        <w:t xml:space="preserve">1. Общая информация</w:t>
      </w:r>
      <w:r>
        <w:rPr>
          <w:rFonts w:ascii="Times New Roman" w:hAnsi="Times New Roman" w:eastAsia="Times New Roman" w:cs="Times New Roman"/>
          <w:b/>
          <w:sz w:val="26"/>
        </w:rPr>
      </w:r>
      <w:r>
        <w:rPr>
          <w:rFonts w:ascii="Times New Roman" w:hAnsi="Times New Roman" w:eastAsia="Times New Roman" w:cs="Times New Roman"/>
          <w:b/>
          <w:sz w:val="26"/>
        </w:rPr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6"/>
        <w:gridCol w:w="2410"/>
        <w:gridCol w:w="6089"/>
      </w:tblGrid>
      <w:tr>
        <w:tblPrEx/>
        <w:trPr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auto"/>
              <w:rPr>
                <w:rFonts w:ascii="Times New Roman" w:hAnsi="Times New Roman" w:eastAsia="Times New Roman" w:cs="Times New Roman"/>
                <w:color w:val="000000"/>
                <w:sz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</w:rPr>
            </w:r>
          </w:p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п/п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4" w:lineRule="auto"/>
            </w:pP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</w:rPr>
              <w:t xml:space="preserve">Наименование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89" w:type="dxa"/>
            <w:vAlign w:val="center"/>
            <w:textDirection w:val="lrTb"/>
            <w:noWrap w:val="false"/>
          </w:tcPr>
          <w:p>
            <w:pPr>
              <w:jc w:val="center"/>
              <w:spacing w:after="0" w:line="244" w:lineRule="auto"/>
            </w:pP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</w:rPr>
              <w:t xml:space="preserve">Информация по лоту</w:t>
            </w:r>
            <w:r/>
          </w:p>
        </w:tc>
      </w:tr>
      <w:tr>
        <w:tblPrEx/>
        <w:trPr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6" w:type="dxa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 xml:space="preserve">1.1.</w:t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410" w:type="dxa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</w:rPr>
              <w:t xml:space="preserve">Наименование лота</w:t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89" w:type="dxa"/>
            <w:vAlign w:val="center"/>
            <w:textDirection w:val="lrTb"/>
            <w:noWrap w:val="false"/>
          </w:tcPr>
          <w:p>
            <w:pPr>
              <w:ind w:left="57" w:right="57" w:firstLine="0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КПД2 28.13.14 Поставка насосного оборудования в рамках реализации инвестиционного проекта N_505-ХТЭЦ-1-3" Строительство очистных сооружений (нефтеловушки) для обеспечения очистки сточных вод Хабаровской ТЭЦ-1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" г. Хабаровск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6" w:type="dxa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1.2.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4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Номер лота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22216037-ТПИР ОТМ-2026-ДГК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1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6" w:type="dxa"/>
            <w:vAlign w:val="center"/>
            <w:textDirection w:val="lrTb"/>
            <w:noWrap w:val="false"/>
          </w:tcPr>
          <w:p>
            <w:pPr>
              <w:spacing w:after="0" w:line="244" w:lineRule="auto"/>
            </w:pP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</w:rPr>
              <w:t xml:space="preserve">1.3.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410" w:type="dxa"/>
            <w:vAlign w:val="center"/>
            <w:textDirection w:val="lrTb"/>
            <w:noWrap w:val="false"/>
          </w:tcPr>
          <w:p>
            <w:pPr>
              <w:spacing w:after="0" w:line="244" w:lineRule="auto"/>
            </w:pP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</w:rPr>
              <w:t xml:space="preserve">НМЦ </w:t>
            </w:r>
            <w:r/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89" w:type="dxa"/>
            <w:vAlign w:val="center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 w:eastAsia="Lucida Sans Unicode" w:cs="Times New Roman"/>
                <w:i/>
              </w:rPr>
            </w:r>
            <w:r>
              <w:rPr>
                <w:rFonts w:ascii="Times New Roman" w:hAnsi="Times New Roman" w:eastAsia="Lucida Sans Unicode" w:cs="Times New Roman"/>
                <w:i w:val="0"/>
                <w:iCs w:val="0"/>
              </w:rPr>
              <w:t xml:space="preserve">26 355 981,33 рублей без НДС</w:t>
            </w:r>
            <w:r>
              <w:rPr>
                <w:rFonts w:ascii="Times New Roman" w:hAnsi="Times New Roman" w:eastAsia="Lucida Sans Unicode" w:cs="Times New Roman"/>
                <w:i/>
              </w:rPr>
            </w:r>
            <w:r/>
          </w:p>
        </w:tc>
      </w:tr>
    </w:tbl>
    <w:p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</w:r>
      <w:r>
        <w:rPr>
          <w:rFonts w:ascii="Calibri" w:hAnsi="Calibri" w:eastAsia="Calibri" w:cs="Calibri"/>
        </w:rPr>
      </w:r>
      <w:r>
        <w:rPr>
          <w:rFonts w:ascii="Calibri" w:hAnsi="Calibri" w:eastAsia="Calibri" w:cs="Calibri"/>
        </w:rPr>
      </w:r>
    </w:p>
    <w:p>
      <w:pPr>
        <w:rPr>
          <w:rFonts w:ascii="Times New Roman" w:hAnsi="Times New Roman" w:cs="Times New Roman" w:eastAsiaTheme="minorHAnsi"/>
          <w:b/>
          <w:sz w:val="26"/>
          <w:szCs w:val="26"/>
          <w:lang w:eastAsia="en-US"/>
        </w:rPr>
      </w:pPr>
      <w:r>
        <w:rPr>
          <w:rFonts w:ascii="Times New Roman" w:hAnsi="Times New Roman" w:cs="Times New Roman" w:eastAsiaTheme="minorHAnsi"/>
          <w:b/>
          <w:sz w:val="26"/>
          <w:szCs w:val="26"/>
          <w:lang w:eastAsia="en-US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 w:eastAsiaTheme="minorHAnsi"/>
          <w:b/>
          <w:sz w:val="26"/>
          <w:szCs w:val="26"/>
          <w:lang w:eastAsia="en-US"/>
        </w:rPr>
      </w:r>
      <w:r>
        <w:rPr>
          <w:rFonts w:ascii="Times New Roman" w:hAnsi="Times New Roman" w:cs="Times New Roman" w:eastAsiaTheme="minorHAnsi"/>
          <w:b/>
          <w:sz w:val="26"/>
          <w:szCs w:val="26"/>
          <w:lang w:eastAsia="en-US"/>
        </w:rPr>
      </w:r>
    </w:p>
    <w:p>
      <w:pPr>
        <w:spacing w:after="60" w:line="244" w:lineRule="exact"/>
        <w:widowControl w:val="off"/>
        <w:rPr>
          <w:rFonts w:ascii="Times New Roman" w:hAnsi="Times New Roman" w:eastAsia="Times New Roman" w:cs="Times New Roman"/>
          <w:szCs w:val="28"/>
          <w:lang w:bidi="ru-RU"/>
        </w:rPr>
      </w:pPr>
      <w:r>
        <w:rPr>
          <w:rFonts w:ascii="Times New Roman" w:hAnsi="Times New Roman" w:eastAsia="Times New Roman" w:cs="Times New Roman"/>
          <w:lang w:bidi="ru-RU"/>
        </w:rPr>
        <w:t xml:space="preserve">Метод анализа: </w:t>
      </w:r>
      <w:r>
        <w:rPr>
          <w:rFonts w:ascii="Times New Roman" w:hAnsi="Times New Roman" w:eastAsia="Times New Roman" w:cs="Times New Roman"/>
          <w:szCs w:val="28"/>
          <w:lang w:bidi="ru-RU"/>
        </w:rPr>
        <w:t xml:space="preserve">технико-коммерческие предложения </w:t>
      </w:r>
      <w:r>
        <w:rPr>
          <w:rFonts w:ascii="Times New Roman" w:hAnsi="Times New Roman" w:eastAsia="Times New Roman" w:cs="Times New Roman"/>
          <w:szCs w:val="28"/>
          <w:lang w:bidi="ru-RU"/>
        </w:rPr>
      </w:r>
      <w:r>
        <w:rPr>
          <w:rFonts w:ascii="Times New Roman" w:hAnsi="Times New Roman" w:eastAsia="Times New Roman" w:cs="Times New Roman"/>
          <w:szCs w:val="28"/>
          <w:lang w:bidi="ru-RU"/>
        </w:rPr>
      </w:r>
    </w:p>
    <w:p>
      <w:pPr>
        <w:spacing w:after="60" w:line="244" w:lineRule="exact"/>
        <w:widowControl w:val="off"/>
        <w:rPr>
          <w:rFonts w:ascii="Times New Roman" w:hAnsi="Times New Roman" w:eastAsia="Times New Roman" w:cs="Times New Roman"/>
          <w:highlight w:val="none"/>
          <w:lang w:bidi="ru-RU"/>
        </w:rPr>
      </w:pPr>
      <w:r>
        <w:rPr>
          <w:rFonts w:ascii="Times New Roman" w:hAnsi="Times New Roman" w:eastAsia="Times New Roman" w:cs="Times New Roman"/>
          <w:lang w:bidi="ru-RU"/>
        </w:rPr>
        <w:t xml:space="preserve">Обоснование расчета НМЦ: </w:t>
      </w:r>
      <w:r>
        <w:rPr>
          <w:rFonts w:ascii="Times New Roman" w:hAnsi="Times New Roman" w:eastAsia="Times New Roman" w:cs="Times New Roman"/>
          <w:highlight w:val="none"/>
          <w:lang w:bidi="ru-RU"/>
        </w:rPr>
      </w:r>
      <w:r>
        <w:rPr>
          <w:rFonts w:ascii="Times New Roman" w:hAnsi="Times New Roman" w:eastAsia="Times New Roman" w:cs="Times New Roman"/>
          <w:highlight w:val="none"/>
          <w:lang w:bidi="ru-RU"/>
        </w:rPr>
      </w:r>
    </w:p>
    <w:tbl>
      <w:tblPr>
        <w:tblStyle w:val="852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843"/>
        <w:gridCol w:w="2126"/>
        <w:gridCol w:w="1701"/>
        <w:gridCol w:w="1526"/>
      </w:tblGrid>
      <w:tr>
        <w:tblPrEx/>
        <w:trPr/>
        <w:tc>
          <w:tcPr>
            <w:tcW w:w="23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spacing w:after="60" w:line="244" w:lineRule="exact"/>
              <w:widowControl w:val="off"/>
              <w:rPr>
                <w:rFonts w:ascii="Times New Roman" w:hAnsi="Times New Roman" w:eastAsia="Times New Roman" w:cs="Times New Roman"/>
                <w:lang w:bidi="ru-RU"/>
              </w:rPr>
            </w:pP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источника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ценовой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информации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(ИЦИ)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spacing w:after="60" w:line="244" w:lineRule="exact"/>
              <w:widowControl w:val="off"/>
              <w:rPr>
                <w:rFonts w:ascii="Times New Roman" w:hAnsi="Times New Roman" w:eastAsia="Times New Roman" w:cs="Times New Roman"/>
                <w:lang w:bidi="ru-RU"/>
              </w:rPr>
            </w:pP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spacing w:after="60" w:line="244" w:lineRule="exact"/>
              <w:widowControl w:val="off"/>
              <w:rPr>
                <w:rFonts w:ascii="Times New Roman" w:hAnsi="Times New Roman" w:eastAsia="Times New Roman" w:cs="Times New Roman"/>
                <w:lang w:bidi="ru-RU"/>
              </w:rPr>
            </w:pP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Цена итоговая,   в руб. без НДС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spacing w:after="60" w:line="244" w:lineRule="exact"/>
              <w:widowControl w:val="off"/>
              <w:rPr>
                <w:rFonts w:ascii="Times New Roman" w:hAnsi="Times New Roman" w:eastAsia="Times New Roman" w:cs="Times New Roman"/>
                <w:lang w:bidi="ru-RU"/>
              </w:rPr>
            </w:pP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</w:p>
        </w:tc>
        <w:tc>
          <w:tcPr>
            <w:tcW w:w="15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Комментарий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spacing w:after="60" w:line="244" w:lineRule="exact"/>
              <w:widowControl w:val="off"/>
              <w:rPr>
                <w:rFonts w:ascii="Times New Roman" w:hAnsi="Times New Roman" w:eastAsia="Times New Roman" w:cs="Times New Roman"/>
                <w:lang w:bidi="ru-RU"/>
              </w:rPr>
            </w:pP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</w:p>
        </w:tc>
      </w:tr>
      <w:tr>
        <w:tblPrEx/>
        <w:trPr>
          <w:trHeight w:val="1130"/>
        </w:trPr>
        <w:tc>
          <w:tcPr>
            <w:tcW w:w="2376" w:type="dxa"/>
            <w:vMerge w:val="restart"/>
            <w:textDirection w:val="lrTb"/>
            <w:noWrap w:val="false"/>
          </w:tcPr>
          <w:p>
            <w:pPr>
              <w:pStyle w:val="693"/>
              <w:ind w:left="0"/>
              <w:spacing w:after="0" w:line="240" w:lineRule="auto"/>
              <w:rPr>
                <w:rFonts w:ascii="Times New Roman" w:hAnsi="Times New Roman" w:cs="Times New Roman"/>
                <w:b w:val="0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ind w:left="57" w:right="57"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КПД2 28.13.14 Поставка насосного оборудования в рамках реализации инвестиционного проекта N_505-ХТЭЦ-1-3" Строительство очистных сооружений (нефтеловушки) для обеспечения очистки сточных вод Хабаровской ТЭЦ-1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" г. Хабаровск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КП № 1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60" w:line="244" w:lineRule="exact"/>
              <w:widowControl w:val="off"/>
              <w:rPr>
                <w:rFonts w:ascii="Times New Roman" w:hAnsi="Times New Roman" w:eastAsia="Times New Roman" w:cs="Times New Roman"/>
                <w:lang w:bidi="ru-RU"/>
              </w:rPr>
            </w:pP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60" w:line="244" w:lineRule="exact"/>
              <w:widowControl w:val="off"/>
              <w:rPr>
                <w:rFonts w:ascii="Times New Roman" w:hAnsi="Times New Roman" w:eastAsia="Times New Roman" w:cs="Times New Roman"/>
                <w:lang w:bidi="ru-RU"/>
              </w:rPr>
            </w:pP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  <w:t xml:space="preserve">24 786 189,35</w:t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Среднее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  значение полученных ТКП: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after="60" w:line="244" w:lineRule="exact"/>
              <w:widowControl w:val="off"/>
              <w:rPr>
                <w:rFonts w:ascii="Times New Roman" w:hAnsi="Times New Roman" w:eastAsia="Times New Roman" w:cs="Times New Roman"/>
                <w:lang w:bidi="ru-RU"/>
              </w:rPr>
            </w:pPr>
            <w:r>
              <w:rPr>
                <w:rFonts w:ascii="Times New Roman" w:hAnsi="Times New Roman" w:eastAsia="Times New Roman" w:cs="Times New Roman"/>
                <w:i/>
                <w:highlight w:val="none"/>
              </w:rPr>
            </w:r>
            <w:r>
              <w:rPr>
                <w:rFonts w:ascii="Times New Roman" w:hAnsi="Times New Roman" w:eastAsia="Lucida Sans Unicode" w:cs="Times New Roman"/>
                <w:i/>
              </w:rPr>
              <w:t xml:space="preserve">26 355 981,33</w:t>
            </w:r>
            <w:r>
              <w:rPr>
                <w:rFonts w:ascii="Times New Roman" w:hAnsi="Times New Roman" w:eastAsia="Lucida Sans Unicode" w:cs="Times New Roman"/>
                <w:i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 руб. без НДС</w:t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</w:p>
        </w:tc>
        <w:tc>
          <w:tcPr>
            <w:tcW w:w="1526" w:type="dxa"/>
            <w:textDirection w:val="lrTb"/>
            <w:noWrap w:val="false"/>
          </w:tcPr>
          <w:p>
            <w:pPr>
              <w:spacing w:after="60" w:line="244" w:lineRule="exact"/>
              <w:widowControl w:val="off"/>
              <w:rPr>
                <w:rFonts w:ascii="Times New Roman" w:hAnsi="Times New Roman" w:eastAsia="Times New Roman" w:cs="Times New Roman"/>
                <w:lang w:bidi="ru-RU"/>
              </w:rPr>
            </w:pP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</w:p>
        </w:tc>
      </w:tr>
      <w:tr>
        <w:tblPrEx/>
        <w:trPr>
          <w:trHeight w:val="1290"/>
        </w:trPr>
        <w:tc>
          <w:tcPr>
            <w:tcW w:w="23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КП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60" w:line="244" w:lineRule="exact"/>
              <w:widowControl w:val="off"/>
              <w:rPr>
                <w:rFonts w:ascii="Times New Roman" w:hAnsi="Times New Roman" w:eastAsia="Times New Roman" w:cs="Times New Roman"/>
                <w:lang w:bidi="ru-RU"/>
              </w:rPr>
            </w:pP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60" w:line="244" w:lineRule="exact"/>
              <w:widowControl w:val="off"/>
              <w:rPr>
                <w:rFonts w:ascii="Times New Roman" w:hAnsi="Times New Roman" w:eastAsia="Times New Roman" w:cs="Times New Roman"/>
                <w:lang w:bidi="ru-RU"/>
              </w:rPr>
            </w:pP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  <w:t xml:space="preserve">26 521 222,57</w:t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26" w:type="dxa"/>
            <w:textDirection w:val="lrTb"/>
            <w:noWrap w:val="false"/>
          </w:tcPr>
          <w:p>
            <w:pPr>
              <w:spacing w:after="60" w:line="244" w:lineRule="exact"/>
              <w:widowControl w:val="off"/>
              <w:rPr>
                <w:rFonts w:ascii="Times New Roman" w:hAnsi="Times New Roman" w:eastAsia="Times New Roman" w:cs="Times New Roman"/>
                <w:lang w:bidi="ru-RU"/>
              </w:rPr>
            </w:pP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</w:p>
        </w:tc>
      </w:tr>
      <w:tr>
        <w:tblPrEx/>
        <w:trPr>
          <w:trHeight w:val="1383"/>
        </w:trPr>
        <w:tc>
          <w:tcPr>
            <w:tcW w:w="23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КП 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60" w:line="244" w:lineRule="exact"/>
              <w:widowControl w:val="off"/>
              <w:rPr>
                <w:rFonts w:ascii="Times New Roman" w:hAnsi="Times New Roman" w:eastAsia="Times New Roman" w:cs="Times New Roman"/>
                <w:lang w:bidi="ru-RU"/>
              </w:rPr>
            </w:pP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4" w:lineRule="exact"/>
              <w:widowControl w:val="off"/>
              <w:rPr>
                <w:rFonts w:ascii="Times New Roman" w:hAnsi="Times New Roman" w:eastAsia="Times New Roman" w:cs="Times New Roman"/>
                <w:lang w:bidi="ru-RU"/>
              </w:rPr>
            </w:pP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  <w:t xml:space="preserve">27 760 532,07</w:t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26" w:type="dxa"/>
            <w:vMerge w:val="restart"/>
            <w:textDirection w:val="lrTb"/>
            <w:noWrap w:val="false"/>
          </w:tcPr>
          <w:p>
            <w:pPr>
              <w:spacing w:after="60" w:line="244" w:lineRule="exact"/>
              <w:widowControl w:val="off"/>
              <w:rPr>
                <w:rFonts w:ascii="Times New Roman" w:hAnsi="Times New Roman" w:eastAsia="Times New Roman" w:cs="Times New Roman"/>
                <w:lang w:bidi="ru-RU"/>
              </w:rPr>
            </w:pP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  <w:r>
              <w:rPr>
                <w:rFonts w:ascii="Times New Roman" w:hAnsi="Times New Roman" w:eastAsia="Times New Roman" w:cs="Times New Roman"/>
                <w:lang w:bidi="ru-RU"/>
              </w:rPr>
            </w:r>
          </w:p>
        </w:tc>
      </w:tr>
    </w:tbl>
    <w:p>
      <w:pPr>
        <w:spacing w:after="60" w:line="244" w:lineRule="exact"/>
        <w:widowControl w:val="off"/>
        <w:rPr>
          <w:rFonts w:ascii="Times New Roman" w:hAnsi="Times New Roman" w:eastAsia="Times New Roman" w:cs="Times New Roman"/>
          <w:lang w:bidi="ru-RU"/>
        </w:rPr>
      </w:pPr>
      <w:r>
        <w:rPr>
          <w:rFonts w:ascii="Times New Roman" w:hAnsi="Times New Roman" w:eastAsia="Times New Roman" w:cs="Times New Roman"/>
          <w:lang w:bidi="ru-RU"/>
        </w:rPr>
      </w:r>
      <w:r>
        <w:rPr>
          <w:rFonts w:ascii="Times New Roman" w:hAnsi="Times New Roman" w:eastAsia="Times New Roman" w:cs="Times New Roman"/>
          <w:lang w:bidi="ru-RU"/>
        </w:rPr>
      </w:r>
      <w:r>
        <w:rPr>
          <w:rFonts w:ascii="Times New Roman" w:hAnsi="Times New Roman" w:eastAsia="Times New Roman" w:cs="Times New Roman"/>
          <w:lang w:bidi="ru-RU"/>
        </w:rPr>
      </w:r>
    </w:p>
    <w:p>
      <w:pPr>
        <w:spacing w:after="60" w:line="244" w:lineRule="exact"/>
        <w:widowControl w:val="off"/>
        <w:rPr>
          <w:rFonts w:ascii="Times New Roman" w:hAnsi="Times New Roman" w:eastAsia="Times New Roman" w:cs="Times New Roman"/>
          <w:lang w:bidi="ru-RU"/>
        </w:rPr>
      </w:pPr>
      <w:r>
        <w:rPr>
          <w:rFonts w:ascii="Times New Roman" w:hAnsi="Times New Roman" w:eastAsia="Times New Roman" w:cs="Times New Roman"/>
          <w:lang w:bidi="ru-RU"/>
        </w:rPr>
      </w:r>
      <w:r>
        <w:rPr>
          <w:rFonts w:ascii="Times New Roman" w:hAnsi="Times New Roman" w:eastAsia="Times New Roman" w:cs="Times New Roman"/>
          <w:lang w:bidi="ru-RU"/>
        </w:rPr>
      </w:r>
      <w:r>
        <w:rPr>
          <w:rFonts w:ascii="Times New Roman" w:hAnsi="Times New Roman" w:eastAsia="Times New Roman" w:cs="Times New Roman"/>
          <w:lang w:bidi="ru-RU"/>
        </w:rPr>
      </w:r>
    </w:p>
    <w:p>
      <w:pPr>
        <w:spacing w:after="60" w:line="244" w:lineRule="exact"/>
        <w:widowControl w:val="off"/>
        <w:rPr>
          <w:rFonts w:ascii="Times New Roman" w:hAnsi="Times New Roman" w:eastAsia="Times New Roman" w:cs="Times New Roman"/>
          <w:lang w:bidi="ru-RU"/>
        </w:rPr>
      </w:pPr>
      <w:r>
        <w:rPr>
          <w:rFonts w:ascii="Times New Roman" w:hAnsi="Times New Roman" w:eastAsia="Times New Roman" w:cs="Times New Roman"/>
          <w:lang w:bidi="ru-RU"/>
        </w:rPr>
      </w:r>
      <w:r>
        <w:rPr>
          <w:rFonts w:ascii="Times New Roman" w:hAnsi="Times New Roman" w:eastAsia="Times New Roman" w:cs="Times New Roman"/>
          <w:lang w:bidi="ru-RU"/>
        </w:rPr>
      </w:r>
      <w:r>
        <w:rPr>
          <w:rFonts w:ascii="Times New Roman" w:hAnsi="Times New Roman" w:eastAsia="Times New Roman" w:cs="Times New Roman"/>
          <w:lang w:bidi="ru-RU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ucida Sans Unicode">
    <w:panose1 w:val="020B0603030804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707"/>
    <w:link w:val="705"/>
    <w:uiPriority w:val="99"/>
  </w:style>
  <w:style w:type="character" w:styleId="669">
    <w:name w:val="Footnote Text Char"/>
    <w:link w:val="835"/>
    <w:uiPriority w:val="99"/>
    <w:rPr>
      <w:sz w:val="18"/>
    </w:rPr>
  </w:style>
  <w:style w:type="character" w:styleId="670">
    <w:name w:val="Endnote Text Char"/>
    <w:link w:val="838"/>
    <w:uiPriority w:val="99"/>
    <w:rPr>
      <w:sz w:val="20"/>
    </w:rPr>
  </w:style>
  <w:style w:type="paragraph" w:styleId="671" w:default="1">
    <w:name w:val="Normal"/>
    <w:qFormat/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basedOn w:val="681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Заголовок Знак"/>
    <w:basedOn w:val="681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 w:customStyle="1">
    <w:name w:val="Подзаголовок Знак"/>
    <w:basedOn w:val="681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basedOn w:val="681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basedOn w:val="681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 w:customStyle="1">
    <w:name w:val="Table Grid Light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0">
    <w:name w:val="Plain Table 1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68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8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9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0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1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2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3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0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1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2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3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4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5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6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7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0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1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2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3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4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5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6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4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5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6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7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8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9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0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2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3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4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5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6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7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8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9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0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1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2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3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563c1" w:themeColor="hyperlink"/>
      <w:u w:val="single"/>
    </w:rPr>
  </w:style>
  <w:style w:type="paragraph" w:styleId="835">
    <w:name w:val="footnote text"/>
    <w:basedOn w:val="671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 w:customStyle="1">
    <w:name w:val="Текст сноски Знак"/>
    <w:link w:val="835"/>
    <w:uiPriority w:val="99"/>
    <w:rPr>
      <w:sz w:val="18"/>
    </w:rPr>
  </w:style>
  <w:style w:type="character" w:styleId="837">
    <w:name w:val="footnote reference"/>
    <w:basedOn w:val="681"/>
    <w:uiPriority w:val="99"/>
    <w:unhideWhenUsed/>
    <w:rPr>
      <w:vertAlign w:val="superscript"/>
    </w:rPr>
  </w:style>
  <w:style w:type="paragraph" w:styleId="838">
    <w:name w:val="endnote text"/>
    <w:basedOn w:val="671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 w:customStyle="1">
    <w:name w:val="Текст концевой сноски Знак"/>
    <w:link w:val="838"/>
    <w:uiPriority w:val="99"/>
    <w:rPr>
      <w:sz w:val="20"/>
    </w:rPr>
  </w:style>
  <w:style w:type="character" w:styleId="840">
    <w:name w:val="endnote reference"/>
    <w:basedOn w:val="681"/>
    <w:uiPriority w:val="99"/>
    <w:semiHidden/>
    <w:unhideWhenUsed/>
    <w:rPr>
      <w:vertAlign w:val="superscript"/>
    </w:rPr>
  </w:style>
  <w:style w:type="paragraph" w:styleId="841">
    <w:name w:val="toc 1"/>
    <w:basedOn w:val="671"/>
    <w:next w:val="671"/>
    <w:uiPriority w:val="39"/>
    <w:unhideWhenUsed/>
    <w:pPr>
      <w:spacing w:after="57"/>
    </w:pPr>
  </w:style>
  <w:style w:type="paragraph" w:styleId="842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3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4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5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6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7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8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49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671"/>
    <w:next w:val="671"/>
    <w:uiPriority w:val="99"/>
    <w:unhideWhenUsed/>
    <w:pPr>
      <w:spacing w:after="0"/>
    </w:pPr>
  </w:style>
  <w:style w:type="table" w:styleId="852">
    <w:name w:val="Table Grid"/>
    <w:basedOn w:val="682"/>
    <w:uiPriority w:val="39"/>
    <w:pPr>
      <w:spacing w:after="0" w:line="240" w:lineRule="auto"/>
    </w:pPr>
    <w:rPr>
      <w:rFonts w:eastAsiaTheme="minorHAnsi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fedyasheva_ig</cp:lastModifiedBy>
  <cp:revision>29</cp:revision>
  <dcterms:created xsi:type="dcterms:W3CDTF">2023-01-18T04:54:00Z</dcterms:created>
  <dcterms:modified xsi:type="dcterms:W3CDTF">2026-05-13T07:06:16Z</dcterms:modified>
</cp:coreProperties>
</file>